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72" w:beforeLines="30" w:beforeAutospacing="0" w:after="72" w:afterLines="30" w:afterAutospacing="0" w:line="560" w:lineRule="exact"/>
        <w:ind w:left="0" w:right="0" w:firstLine="0"/>
        <w:jc w:val="both"/>
        <w:outlineLvl w:val="9"/>
        <w:rPr>
          <w:rFonts w:ascii="方正小标宋简体" w:hAnsi="方正小标宋简体" w:eastAsia="方正小标宋简体" w:cs="方正小标宋简体"/>
          <w:b w:val="0"/>
          <w:bCs/>
          <w:caps w:val="0"/>
          <w:color w:val="auto"/>
          <w:kern w:val="0"/>
          <w:sz w:val="44"/>
          <w:szCs w:val="44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72" w:beforeLines="30" w:beforeAutospacing="0" w:after="72" w:afterLines="30" w:afterAutospacing="0" w:line="560" w:lineRule="exac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auto"/>
          <w:kern w:val="0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auto"/>
          <w:kern w:val="0"/>
          <w:sz w:val="44"/>
          <w:szCs w:val="44"/>
          <w:vertAlign w:val="baseline"/>
          <w:lang w:val="en-US" w:eastAsia="zh-CN" w:bidi="ar"/>
        </w:rPr>
        <w:t>孝感市科普惠民社区（村）建设标准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ascii="楷体_GB2312" w:eastAsia="楷体_GB2312" w:cs="楷体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eastAsia="zh-CN"/>
        </w:rPr>
        <w:t>为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val="en-US" w:eastAsia="zh-CN"/>
        </w:rPr>
        <w:t>深入实施《孝感市全民科学素质行动规划纲要实施方案（2021-2025年）》，加强科普进社区、进农村阵地建设，助力新时代文明实践和乡村振兴，提高全民科学素质，规范孝感市科普惠民社区（村）创建和管理，制定建设标准如下：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黑体" w:hAnsi="宋体" w:eastAsia="黑体" w:cs="黑体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/>
        </w:rPr>
      </w:pPr>
      <w:r>
        <w:rPr>
          <w:rFonts w:ascii="黑体" w:hAnsi="宋体" w:eastAsia="黑体" w:cs="黑体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/>
        </w:rPr>
        <w:t>一、组织保障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_GB2312" w:eastAsia="仿宋_GB2312" w:cs="仿宋_GB2312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/>
        </w:rPr>
        <w:t>1.社区（村）党组织和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</w:rPr>
        <w:t>领导重视科普工作，把科普工作纳入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eastAsia="zh-CN"/>
        </w:rPr>
        <w:t>社区（村）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</w:rPr>
        <w:t>工作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eastAsia="zh-CN"/>
        </w:rPr>
        <w:t>的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</w:rPr>
        <w:t>议事日程。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  <w:t>2.将</w:t>
      </w:r>
      <w:r>
        <w:rPr>
          <w:rFonts w:hint="default" w:ascii="仿宋_GB2312" w:eastAsia="仿宋_GB2312" w:cs="仿宋_GB2312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/>
        </w:rPr>
        <w:t>社区（村）科普工作纳入年度工作目标考核和精神文明创建计划，社区（村）领导积极带头参加各类科普活动。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  <w:t>3.有开展科普活动的基本经费保障，积极争取社会多元化投入，支持科普事业持续健康发展。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  <w:t>4.</w:t>
      </w:r>
      <w:r>
        <w:rPr>
          <w:rFonts w:hint="default" w:ascii="仿宋_GB2312" w:eastAsia="仿宋_GB2312" w:cs="仿宋_GB2312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/>
        </w:rPr>
        <w:t>社区（村）科普工作具有区域代表性和特色，对周边有示范和辐射带动作用。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黑体" w:hAnsi="宋体" w:eastAsia="黑体" w:cs="黑体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黑体" w:hAnsi="宋体" w:eastAsia="黑体" w:cs="黑体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/>
        </w:rPr>
        <w:t>二、制度建设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  <w:t>1.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eastAsia="zh-CN"/>
        </w:rPr>
        <w:t>社区（村）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</w:rPr>
        <w:t>建有完善的科普规章制度，制定有科普工作年度计划和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eastAsia="zh-CN"/>
        </w:rPr>
        <w:t>中长期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</w:rPr>
        <w:t>规划，科普工作文件、资料管理规范。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  <w:t>2.建立科普工作激励机制，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</w:rPr>
        <w:t>对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eastAsia="zh-CN"/>
        </w:rPr>
        <w:t>科技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</w:rPr>
        <w:t>志愿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eastAsia="zh-CN"/>
        </w:rPr>
        <w:t>服务工作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</w:rPr>
        <w:t>做到有组织、有活动、有培训、有考核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eastAsia="zh-CN"/>
        </w:rPr>
        <w:t>、有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</w:rPr>
        <w:t>激励。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  <w:t>及时为科技志愿服务者开具服务证明、做好记录、体现志愿服务价值。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  <w:t>3.制定社区（村）科技志愿服务清单。坚持“实际、实用、实效”原则，公开科技志愿者技能、特长和提供服务时间等信息，与群众需求有机结合，实现供需有效对接。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黑体" w:hAnsi="宋体" w:eastAsia="黑体" w:cs="黑体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黑体" w:hAnsi="宋体" w:eastAsia="黑体" w:cs="黑体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/>
        </w:rPr>
        <w:t>三、队伍建设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  <w:t>1.成立由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eastAsia="zh-CN"/>
        </w:rPr>
        <w:t>社区（村）</w:t>
      </w: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</w:rPr>
        <w:t>分管领导</w:t>
      </w: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  <w:lang w:eastAsia="zh-CN"/>
        </w:rPr>
        <w:t>同志负责的科普小组，</w:t>
      </w: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</w:rPr>
        <w:t>有相对固定专兼职</w:t>
      </w: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  <w:lang w:eastAsia="zh-CN"/>
        </w:rPr>
        <w:t>科普工作</w:t>
      </w: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</w:rPr>
        <w:t>人员</w:t>
      </w: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</w:rPr>
      </w:pP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  <w:lang w:val="en-US" w:eastAsia="zh-CN"/>
        </w:rPr>
        <w:t>2.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</w:rPr>
        <w:t>开展科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eastAsia="zh-CN"/>
        </w:rPr>
        <w:t>技志愿服务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</w:rPr>
        <w:t>助力新时代文明实践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eastAsia="zh-CN"/>
        </w:rPr>
        <w:t>和乡村振兴，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val="en-US" w:eastAsia="zh-CN"/>
        </w:rPr>
        <w:t>建立有20人以上的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eastAsia="zh-CN"/>
        </w:rPr>
        <w:t>社区（村）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</w:rPr>
        <w:t>科技志愿服务队伍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eastAsia="zh-CN"/>
        </w:rPr>
        <w:t>，吸纳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eastAsia="zh-CN"/>
        </w:rPr>
        <w:t>科技人才、科普专家开展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  <w:t>“智惠行动”，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</w:rPr>
        <w:t>满足人民群众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eastAsia="zh-CN"/>
        </w:rPr>
        <w:t>需求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val="en-US" w:eastAsia="zh-CN"/>
        </w:rPr>
        <w:t>3.</w:t>
      </w: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  <w:lang w:eastAsia="zh-CN"/>
        </w:rPr>
        <w:t>培训培养辖区内有知识文化、专业技能和奉献精神的青壮年和妇女</w:t>
      </w: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</w:rPr>
        <w:t>，</w:t>
      </w: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  <w:lang w:eastAsia="zh-CN"/>
        </w:rPr>
        <w:t>加强基层科普人才储备和后备队伍建设。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黑体" w:hAnsi="宋体" w:eastAsia="黑体" w:cs="黑体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黑体" w:hAnsi="宋体" w:eastAsia="黑体" w:cs="黑体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/>
        </w:rPr>
        <w:t>四、科普设施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eastAsia="zh-CN"/>
        </w:rPr>
      </w:pP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val="en-US" w:eastAsia="zh-CN"/>
        </w:rPr>
        <w:t>1.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eastAsia="zh-CN"/>
        </w:rPr>
        <w:t>在社区（村）党群服务中心设立科普阅览室、科普培训室、科普宣传栏，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</w:rPr>
        <w:t>在有条件的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eastAsia="zh-CN"/>
        </w:rPr>
        <w:t>社区（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</w:rPr>
        <w:t>村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eastAsia="zh-CN"/>
        </w:rPr>
        <w:t>）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</w:rPr>
        <w:t>建设科普广场，设置科普大屏，拓展科普宣传阵地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</w:rPr>
      </w:pP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val="en-US" w:eastAsia="zh-CN"/>
        </w:rPr>
        <w:t>2.加强科普基础设施建设。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eastAsia="zh-CN"/>
        </w:rPr>
        <w:t>社区（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</w:rPr>
        <w:t>村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eastAsia="zh-CN"/>
        </w:rPr>
        <w:t>）</w:t>
      </w: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</w:rPr>
        <w:t>有50平方米以上科普活动室（站），有10延米以上的科普橱窗（画廊），并每季度更换科普宣传内容不少于1次，有科普图书专柜且科普图书的数量不少于1000册</w:t>
      </w: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val="en-US" w:eastAsia="zh-CN"/>
        </w:rPr>
        <w:t>3.建设科普信息化平台。依托社区（村）宣传网络和科普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val="en-US"/>
        </w:rPr>
        <w:t>e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val="en-US" w:eastAsia="zh-CN"/>
        </w:rPr>
        <w:t>站等平台，开辟科普宣传栏目，链接科普中国和科普湖北优质科普资源，提升科普信息化宣传能力和水平。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黑体" w:hAnsi="宋体" w:eastAsia="黑体" w:cs="黑体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黑体" w:hAnsi="宋体" w:eastAsia="黑体" w:cs="黑体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/>
        </w:rPr>
        <w:t>五、科普活动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</w:rPr>
      </w:pPr>
      <w:r>
        <w:rPr>
          <w:rFonts w:hint="default" w:ascii="仿宋_GB2312" w:eastAsia="仿宋_GB2312" w:cs="仿宋_GB2312"/>
          <w:caps w:val="0"/>
          <w:color w:val="auto"/>
          <w:sz w:val="32"/>
          <w:szCs w:val="32"/>
          <w:vertAlign w:val="baseline"/>
          <w:lang w:val="en-US" w:eastAsia="zh-CN"/>
        </w:rPr>
        <w:t>1.</w:t>
      </w: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</w:rPr>
        <w:t>广泛开展贴近居民</w:t>
      </w: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  <w:lang w:eastAsia="zh-CN"/>
        </w:rPr>
        <w:t>（村民）</w:t>
      </w: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</w:rPr>
        <w:t>生活、内容丰富、形式多样、特色鲜明的科普活动，每年开展活动不</w:t>
      </w: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  <w:lang w:eastAsia="zh-CN"/>
        </w:rPr>
        <w:t>少于</w:t>
      </w: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  <w:lang w:val="en-US" w:eastAsia="zh-CN"/>
        </w:rPr>
        <w:t>6</w:t>
      </w: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</w:rPr>
        <w:t>次。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  <w:lang w:val="en-US" w:eastAsia="zh-CN"/>
        </w:rPr>
        <w:t>2.结合全国科普日、科技活动周、科普进社区、进农村等重要节点，开展科技培训、科普报告、农技服务、义诊咨询、应急科普、青少年科技教育等公益性服务，促进全民科学素质提升和城乡精神文明建设。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黑体" w:hAnsi="宋体" w:eastAsia="黑体" w:cs="黑体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  <w:lang w:val="en-US" w:eastAsia="zh-CN"/>
        </w:rPr>
        <w:t>3.利用各类宣传媒介，持续加大科普工作宣传力度，营造良好科普氛围。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黑体" w:hAnsi="宋体" w:eastAsia="黑体" w:cs="黑体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黑体" w:hAnsi="宋体" w:eastAsia="黑体" w:cs="黑体"/>
          <w:b w:val="0"/>
          <w:bCs/>
          <w:caps w:val="0"/>
          <w:color w:val="auto"/>
          <w:kern w:val="0"/>
          <w:sz w:val="32"/>
          <w:szCs w:val="32"/>
          <w:vertAlign w:val="baseline"/>
          <w:lang w:val="en-US" w:eastAsia="zh-CN"/>
        </w:rPr>
        <w:t>六、工作成效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outlineLvl w:val="9"/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eastAsia="zh-CN"/>
        </w:rPr>
      </w:pP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u w:val="none"/>
          <w:vertAlign w:val="baseline"/>
          <w:lang w:val="en-US" w:eastAsia="zh-CN"/>
        </w:rPr>
        <w:t>1.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</w:rPr>
        <w:t>居民</w:t>
      </w:r>
      <w:r>
        <w:rPr>
          <w:rFonts w:hint="default" w:ascii="仿宋_GB2312" w:eastAsia="仿宋_GB2312" w:cs="仿宋_GB2312"/>
          <w:caps w:val="0"/>
          <w:color w:val="000000"/>
          <w:sz w:val="32"/>
          <w:szCs w:val="32"/>
          <w:vertAlign w:val="baseline"/>
          <w:lang w:eastAsia="zh-CN"/>
        </w:rPr>
        <w:t>（村民）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</w:rPr>
        <w:t>科普意识明显增强，科学文化素质明显提高，科学、文明、健康的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eastAsia="zh-CN"/>
        </w:rPr>
        <w:t>生产和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</w:rPr>
        <w:t>生活方式深入人心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outlineLvl w:val="9"/>
        <w:rPr>
          <w:rFonts w:hint="default" w:ascii="仿宋_GB2312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  <w:t>2.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eastAsia="zh-CN"/>
        </w:rPr>
        <w:t>社区（村）科技志愿服务助力新时代文明实践和乡村振兴成效显著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</w:rPr>
        <w:t>，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eastAsia="zh-CN"/>
        </w:rPr>
        <w:t>居民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  <w:t>（村民）学科学、用科学蔚然成风，两个文明建设协调发展</w:t>
      </w: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outlineLvl w:val="9"/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  <w:t>3.崇尚科学、反对迷信，管理有序、文明和谐，辖区内无封建迷信、邪教、伪科学活动和群体性治安事件发生。（此为一票否决项）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10"/>
        <w:jc w:val="both"/>
        <w:outlineLvl w:val="9"/>
        <w:rPr>
          <w:rFonts w:hint="default" w:ascii="仿宋_GB2312" w:eastAsia="仿宋_GB2312" w:cs="仿宋_GB2312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Calibri" w:eastAsia="仿宋_GB2312" w:cs="仿宋_GB2312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注：已属国家级、省级科普惠民社区项目不在申报之列。</w:t>
      </w:r>
    </w:p>
    <w:p/>
    <w:sectPr>
      <w:pgSz w:w="11907" w:h="16840"/>
      <w:pgMar w:top="2325" w:right="1735" w:bottom="0" w:left="1605" w:header="0" w:footer="0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736DC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 w:line="240" w:lineRule="auto"/>
      <w:ind w:left="0" w:right="0" w:firstLine="0"/>
      <w:jc w:val="left"/>
    </w:pPr>
    <w:rPr>
      <w:rFonts w:ascii="Calibri" w:hAnsi="Calibri" w:eastAsia="宋体" w:cs="Calibr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永中软件股份有限公司</Company>
  <TotalTime>1</TotalTime>
  <ScaleCrop>false</ScaleCrop>
  <LinksUpToDate>false</LinksUpToDate>
  <Application>WPS Office_11.8.2.1121_F1E327BC-269C-435d-A152-05C5408002CA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2010-09-08T14:51:00Z</dcterms:created>
  <dc:creator>a123</dc:creator>
  <cp:lastModifiedBy>a123</cp:lastModifiedBy>
  <dcterms:modified xsi:type="dcterms:W3CDTF">2023-07-10T15:36:11Z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A435E079BB848AF8EBB4AB64967A7143</vt:lpwstr>
  </property>
</Properties>
</file>